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4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710"/>
        <w:gridCol w:w="8331"/>
      </w:tblGrid>
      <w:tr w:rsidR="00D453F3" w:rsidRPr="00DD331D" w:rsidTr="00F30ED4">
        <w:tc>
          <w:tcPr>
            <w:tcW w:w="10041" w:type="dxa"/>
            <w:gridSpan w:val="2"/>
          </w:tcPr>
          <w:p w:rsidR="00B022F4" w:rsidRDefault="00B022F4" w:rsidP="00847E3C">
            <w:pPr>
              <w:jc w:val="center"/>
              <w:rPr>
                <w:b/>
                <w:color w:val="FF00FF"/>
              </w:rPr>
            </w:pPr>
          </w:p>
          <w:p w:rsidR="00D453F3" w:rsidRDefault="00E075CD" w:rsidP="00B022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276225"/>
                  <wp:effectExtent l="19050" t="0" r="0" b="0"/>
                  <wp:docPr id="1" name="Picture 1" descr="cs4k5Ita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4k5Ita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367" w:rsidRPr="00B25BD8" w:rsidRDefault="007E6367" w:rsidP="007E6367">
            <w:pPr>
              <w:jc w:val="center"/>
              <w:rPr>
                <w:b/>
              </w:rPr>
            </w:pPr>
            <w:r w:rsidRPr="00B25BD8">
              <w:rPr>
                <w:b/>
              </w:rPr>
              <w:t>Grade</w:t>
            </w:r>
            <w:r w:rsidR="009F1B97" w:rsidRPr="00B25BD8">
              <w:rPr>
                <w:b/>
              </w:rPr>
              <w:t xml:space="preserve"> 2</w:t>
            </w:r>
          </w:p>
          <w:p w:rsidR="007E6367" w:rsidRPr="00B25BD8" w:rsidRDefault="009F1B97" w:rsidP="007E6367">
            <w:pPr>
              <w:jc w:val="center"/>
              <w:rPr>
                <w:b/>
              </w:rPr>
            </w:pPr>
            <w:r w:rsidRPr="00B25BD8">
              <w:rPr>
                <w:b/>
              </w:rPr>
              <w:t>Sudoku Puzzle</w:t>
            </w:r>
            <w:r w:rsidR="00B25BD8" w:rsidRPr="00B25BD8">
              <w:rPr>
                <w:b/>
              </w:rPr>
              <w:t>s</w:t>
            </w:r>
            <w:r w:rsidRPr="00B25BD8">
              <w:rPr>
                <w:b/>
              </w:rPr>
              <w:t xml:space="preserve"> and Patterns</w:t>
            </w:r>
          </w:p>
          <w:p w:rsidR="00B022F4" w:rsidRPr="00DD331D" w:rsidRDefault="00B022F4" w:rsidP="00B022F4">
            <w:pPr>
              <w:jc w:val="center"/>
              <w:rPr>
                <w:b/>
              </w:rPr>
            </w:pPr>
          </w:p>
        </w:tc>
      </w:tr>
      <w:tr w:rsidR="00D453F3" w:rsidTr="00F30ED4">
        <w:tc>
          <w:tcPr>
            <w:tcW w:w="1710" w:type="dxa"/>
          </w:tcPr>
          <w:p w:rsidR="00D453F3" w:rsidRPr="00A83110" w:rsidRDefault="00F766F4" w:rsidP="00847E3C">
            <w:pPr>
              <w:ind w:right="-275"/>
              <w:rPr>
                <w:b/>
              </w:rPr>
            </w:pPr>
            <w:r>
              <w:rPr>
                <w:b/>
              </w:rPr>
              <w:t>Description:</w:t>
            </w:r>
          </w:p>
        </w:tc>
        <w:tc>
          <w:tcPr>
            <w:tcW w:w="8331" w:type="dxa"/>
          </w:tcPr>
          <w:p w:rsidR="00EB1DBE" w:rsidRDefault="00EB1DBE" w:rsidP="00FC02D7">
            <w:r>
              <w:t>Students will:</w:t>
            </w:r>
          </w:p>
          <w:p w:rsidR="00D704B7" w:rsidRDefault="00BF51B5" w:rsidP="00FC02D7">
            <w:r>
              <w:t>Draw</w:t>
            </w:r>
            <w:r w:rsidR="00EB1DBE">
              <w:t xml:space="preserve"> a grid using paint tools</w:t>
            </w:r>
            <w:r w:rsidR="00D704B7">
              <w:t xml:space="preserve">. </w:t>
            </w:r>
          </w:p>
          <w:p w:rsidR="00EB1DBE" w:rsidRDefault="00D704B7" w:rsidP="00FC02D7">
            <w:r>
              <w:t>E</w:t>
            </w:r>
            <w:r w:rsidR="00B57AD5">
              <w:t>xperiment with ways to divide it into 16 parts</w:t>
            </w:r>
            <w:r w:rsidR="00EB1DBE">
              <w:t>.</w:t>
            </w:r>
          </w:p>
          <w:p w:rsidR="00BF51B5" w:rsidRDefault="00D704B7" w:rsidP="00BF51B5">
            <w:r>
              <w:t>Draw</w:t>
            </w:r>
            <w:r w:rsidR="00EB1DBE">
              <w:t xml:space="preserve"> four motifs</w:t>
            </w:r>
            <w:r w:rsidR="00D30C06">
              <w:t>.</w:t>
            </w:r>
          </w:p>
          <w:p w:rsidR="00BF51B5" w:rsidRDefault="00BF51B5" w:rsidP="00FC02D7">
            <w:r>
              <w:t>Discus</w:t>
            </w:r>
            <w:r w:rsidR="00B57AD5">
              <w:t>s</w:t>
            </w:r>
            <w:r>
              <w:t xml:space="preserve"> it as an array of rows and columns.</w:t>
            </w:r>
          </w:p>
          <w:p w:rsidR="00D453F3" w:rsidRDefault="00BF51B5" w:rsidP="00FC02D7">
            <w:r>
              <w:t xml:space="preserve">Save puzzle solutions </w:t>
            </w:r>
            <w:r w:rsidR="00EB1DBE">
              <w:t>in a f</w:t>
            </w:r>
            <w:r w:rsidR="00D704B7">
              <w:t>lap</w:t>
            </w:r>
            <w:r w:rsidR="00EB1DBE">
              <w:t>.</w:t>
            </w:r>
          </w:p>
        </w:tc>
      </w:tr>
      <w:tr w:rsidR="0060648C" w:rsidTr="00F30ED4">
        <w:tc>
          <w:tcPr>
            <w:tcW w:w="1710" w:type="dxa"/>
          </w:tcPr>
          <w:p w:rsidR="0060648C" w:rsidRDefault="0022273D" w:rsidP="00847E3C">
            <w:pPr>
              <w:ind w:right="-275"/>
              <w:rPr>
                <w:b/>
              </w:rPr>
            </w:pPr>
            <w:r>
              <w:rPr>
                <w:b/>
              </w:rPr>
              <w:t>Project View</w:t>
            </w:r>
          </w:p>
        </w:tc>
        <w:tc>
          <w:tcPr>
            <w:tcW w:w="8331" w:type="dxa"/>
          </w:tcPr>
          <w:p w:rsidR="00D704B7" w:rsidRDefault="00D704B7" w:rsidP="00B25BD8">
            <w:pPr>
              <w:jc w:val="center"/>
            </w:pPr>
          </w:p>
          <w:p w:rsidR="00B25BD8" w:rsidRDefault="007958E0" w:rsidP="00B25BD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57600" cy="2859024"/>
                  <wp:effectExtent l="19050" t="0" r="0" b="0"/>
                  <wp:docPr id="2" name="Picture 1" descr="sudok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doku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859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940" w:rsidRDefault="003A1940" w:rsidP="00C83ACD"/>
        </w:tc>
      </w:tr>
      <w:tr w:rsidR="00FA0A1E" w:rsidRPr="00012450" w:rsidTr="00F30ED4">
        <w:tc>
          <w:tcPr>
            <w:tcW w:w="1710" w:type="dxa"/>
          </w:tcPr>
          <w:p w:rsidR="00FA0A1E" w:rsidRPr="00A83110" w:rsidRDefault="00341979" w:rsidP="00847E3C">
            <w:pPr>
              <w:rPr>
                <w:b/>
              </w:rPr>
            </w:pPr>
            <w:r>
              <w:br w:type="page"/>
            </w:r>
            <w:r w:rsidR="00FA0A1E">
              <w:rPr>
                <w:b/>
              </w:rPr>
              <w:t>Etoys Quick Guides</w:t>
            </w:r>
          </w:p>
        </w:tc>
        <w:tc>
          <w:tcPr>
            <w:tcW w:w="8331" w:type="dxa"/>
          </w:tcPr>
          <w:p w:rsidR="00341979" w:rsidRDefault="00FA0A1E" w:rsidP="00FA0A1E">
            <w:r w:rsidRPr="004277F9">
              <w:t xml:space="preserve">Click the question mark in Etoys to open the set of </w:t>
            </w:r>
            <w:r w:rsidR="004277F9">
              <w:t xml:space="preserve">interactive </w:t>
            </w:r>
            <w:r w:rsidRPr="004277F9">
              <w:t xml:space="preserve">tutorials </w:t>
            </w:r>
          </w:p>
          <w:p w:rsidR="00FA0A1E" w:rsidRPr="007E6367" w:rsidRDefault="00FA0A1E" w:rsidP="00FA0A1E">
            <w:pPr>
              <w:rPr>
                <w:sz w:val="20"/>
                <w:szCs w:val="20"/>
              </w:rPr>
            </w:pPr>
            <w:r w:rsidRPr="004277F9">
              <w:t>for basic tools and techniques.</w:t>
            </w:r>
            <w:r w:rsidR="004277F9" w:rsidRPr="004277F9">
              <w:t xml:space="preserve"> </w:t>
            </w:r>
            <w:r w:rsidRPr="00D15A72">
              <w:rPr>
                <w:color w:val="FF33CC"/>
              </w:rPr>
              <w:tab/>
            </w:r>
          </w:p>
        </w:tc>
      </w:tr>
      <w:tr w:rsidR="0060648C" w:rsidRPr="00012450" w:rsidTr="00F30ED4">
        <w:tc>
          <w:tcPr>
            <w:tcW w:w="1710" w:type="dxa"/>
          </w:tcPr>
          <w:p w:rsidR="0060648C" w:rsidRDefault="0060648C" w:rsidP="00847E3C">
            <w:pPr>
              <w:rPr>
                <w:b/>
              </w:rPr>
            </w:pPr>
            <w:r>
              <w:rPr>
                <w:b/>
              </w:rPr>
              <w:t>Vocabulary:</w:t>
            </w:r>
          </w:p>
        </w:tc>
        <w:tc>
          <w:tcPr>
            <w:tcW w:w="8331" w:type="dxa"/>
          </w:tcPr>
          <w:p w:rsidR="0060648C" w:rsidRPr="00F30ED4" w:rsidRDefault="00B25BD8" w:rsidP="00FA0A1E">
            <w:r w:rsidRPr="00F30ED4">
              <w:t>Grid, half, quarter, rows, columns, estimate, solve, patterns, rules</w:t>
            </w:r>
            <w:r w:rsidR="00993FA6" w:rsidRPr="00F30ED4">
              <w:t>,</w:t>
            </w:r>
          </w:p>
        </w:tc>
      </w:tr>
      <w:tr w:rsidR="00341979" w:rsidRPr="00012450" w:rsidTr="00F30ED4">
        <w:tc>
          <w:tcPr>
            <w:tcW w:w="1710" w:type="dxa"/>
          </w:tcPr>
          <w:p w:rsidR="00341979" w:rsidRDefault="00341979" w:rsidP="00341979">
            <w:pPr>
              <w:rPr>
                <w:b/>
              </w:rPr>
            </w:pPr>
            <w:r w:rsidRPr="00FA0A1E">
              <w:rPr>
                <w:b/>
              </w:rPr>
              <w:t>Lesson 1</w:t>
            </w:r>
            <w:r>
              <w:rPr>
                <w:b/>
              </w:rPr>
              <w:t>:</w:t>
            </w:r>
          </w:p>
          <w:p w:rsidR="00341979" w:rsidRDefault="00341979" w:rsidP="00341979">
            <w:pPr>
              <w:rPr>
                <w:b/>
              </w:rPr>
            </w:pPr>
          </w:p>
          <w:p w:rsidR="00341979" w:rsidRDefault="00341979" w:rsidP="00341979">
            <w:pPr>
              <w:rPr>
                <w:color w:val="008080"/>
                <w:sz w:val="20"/>
                <w:szCs w:val="20"/>
              </w:rPr>
            </w:pPr>
            <w:r w:rsidRPr="00E5072D">
              <w:rPr>
                <w:color w:val="008080"/>
                <w:sz w:val="20"/>
                <w:szCs w:val="20"/>
              </w:rPr>
              <w:t>Paints: Straight Line Tools</w:t>
            </w:r>
          </w:p>
          <w:p w:rsidR="00B57AD5" w:rsidRDefault="00B57AD5" w:rsidP="00341979">
            <w:pPr>
              <w:rPr>
                <w:color w:val="008080"/>
                <w:sz w:val="20"/>
                <w:szCs w:val="20"/>
              </w:rPr>
            </w:pPr>
          </w:p>
          <w:p w:rsidR="00B57AD5" w:rsidRDefault="00B57AD5" w:rsidP="00341979">
            <w:pPr>
              <w:rPr>
                <w:color w:val="008080"/>
                <w:sz w:val="20"/>
                <w:szCs w:val="20"/>
              </w:rPr>
            </w:pPr>
          </w:p>
          <w:p w:rsidR="00ED3028" w:rsidRDefault="00ED3028" w:rsidP="00341979">
            <w:pPr>
              <w:rPr>
                <w:color w:val="008080"/>
                <w:sz w:val="20"/>
                <w:szCs w:val="20"/>
              </w:rPr>
            </w:pPr>
          </w:p>
          <w:p w:rsidR="00341979" w:rsidRDefault="00341979" w:rsidP="00341979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  <w:r>
              <w:rPr>
                <w:color w:val="008080"/>
                <w:sz w:val="20"/>
                <w:szCs w:val="20"/>
              </w:rPr>
              <w:t>Halo Handles: Size, Color, Copy</w:t>
            </w:r>
          </w:p>
          <w:p w:rsidR="00341979" w:rsidRDefault="00341979" w:rsidP="00341979">
            <w:pPr>
              <w:rPr>
                <w:color w:val="008080"/>
                <w:sz w:val="20"/>
                <w:szCs w:val="20"/>
              </w:rPr>
            </w:pPr>
          </w:p>
          <w:p w:rsidR="00341979" w:rsidRDefault="00341979" w:rsidP="00341979">
            <w:pPr>
              <w:rPr>
                <w:color w:val="008080"/>
                <w:sz w:val="20"/>
                <w:szCs w:val="20"/>
              </w:rPr>
            </w:pPr>
            <w:r>
              <w:rPr>
                <w:color w:val="008080"/>
                <w:sz w:val="20"/>
                <w:szCs w:val="20"/>
              </w:rPr>
              <w:lastRenderedPageBreak/>
              <w:t>Object Catalog: Maker Buttons</w:t>
            </w:r>
          </w:p>
          <w:p w:rsidR="00ED3028" w:rsidRDefault="00ED3028" w:rsidP="00341979">
            <w:pPr>
              <w:rPr>
                <w:color w:val="008080"/>
                <w:sz w:val="20"/>
                <w:szCs w:val="20"/>
              </w:rPr>
            </w:pPr>
          </w:p>
          <w:p w:rsidR="00341979" w:rsidRDefault="00ED3028" w:rsidP="00341979">
            <w:pPr>
              <w:rPr>
                <w:b/>
              </w:rPr>
            </w:pPr>
            <w:r>
              <w:rPr>
                <w:color w:val="008080"/>
                <w:sz w:val="20"/>
                <w:szCs w:val="20"/>
              </w:rPr>
              <w:t>Navigator Bar: Keep Find Projects</w:t>
            </w:r>
          </w:p>
        </w:tc>
        <w:tc>
          <w:tcPr>
            <w:tcW w:w="8331" w:type="dxa"/>
          </w:tcPr>
          <w:p w:rsidR="00341979" w:rsidRDefault="00D704B7" w:rsidP="00341979">
            <w:r>
              <w:lastRenderedPageBreak/>
              <w:t>Making the grid: draw</w:t>
            </w:r>
            <w:r w:rsidR="00341979">
              <w:t xml:space="preserve"> a grid with three different sizes of brushes to show the outline, divisions of the square in half horizon</w:t>
            </w:r>
            <w:r w:rsidR="00ED3028">
              <w:t>tally and vertically and smaller</w:t>
            </w:r>
            <w:r w:rsidR="00341979">
              <w:t xml:space="preserve"> divisions of the quarter squares.</w:t>
            </w:r>
            <w:r>
              <w:t xml:space="preserve"> </w:t>
            </w:r>
            <w:r w:rsidR="00B57AD5">
              <w:t xml:space="preserve"> Give them time to practice drawing even divisions with the paint tools. Or, open a playfield and use the white menu: playfield options: make graph paper</w:t>
            </w:r>
            <w:r w:rsidR="00ED3028">
              <w:t xml:space="preserve"> for more accurate grids</w:t>
            </w:r>
            <w:r w:rsidR="00B57AD5">
              <w:t>.</w:t>
            </w:r>
          </w:p>
          <w:p w:rsidR="00ED3028" w:rsidRDefault="00ED3028" w:rsidP="00341979"/>
          <w:p w:rsidR="00341979" w:rsidRDefault="00ED3028" w:rsidP="00341979">
            <w:r>
              <w:t>Draw</w:t>
            </w:r>
            <w:r w:rsidR="00341979">
              <w:t xml:space="preserve"> a design motif</w:t>
            </w:r>
            <w:r>
              <w:t>. Copy it and change the colors and/or size</w:t>
            </w:r>
            <w:r w:rsidR="00341979">
              <w:t xml:space="preserve">. </w:t>
            </w:r>
          </w:p>
          <w:p w:rsidR="00341979" w:rsidRDefault="00341979" w:rsidP="00341979">
            <w:r>
              <w:lastRenderedPageBreak/>
              <w:t>Get four Maker Buttons from Supplies and put a design motif on each.</w:t>
            </w:r>
          </w:p>
          <w:p w:rsidR="00ED3028" w:rsidRDefault="00ED3028" w:rsidP="00341979"/>
          <w:p w:rsidR="00341979" w:rsidRPr="00F30ED4" w:rsidRDefault="00D704B7" w:rsidP="00FA0A1E">
            <w:r>
              <w:t>Keep the p</w:t>
            </w:r>
            <w:r w:rsidR="007958E0">
              <w:t>roject:  Name</w:t>
            </w:r>
            <w:r>
              <w:t>Sudoku</w:t>
            </w:r>
          </w:p>
        </w:tc>
      </w:tr>
      <w:tr w:rsidR="00D704B7" w:rsidRPr="00012450" w:rsidTr="00F30ED4">
        <w:tc>
          <w:tcPr>
            <w:tcW w:w="1710" w:type="dxa"/>
          </w:tcPr>
          <w:p w:rsidR="00D704B7" w:rsidRDefault="00D704B7" w:rsidP="00D704B7">
            <w:pPr>
              <w:rPr>
                <w:b/>
              </w:rPr>
            </w:pPr>
            <w:r>
              <w:rPr>
                <w:b/>
              </w:rPr>
              <w:lastRenderedPageBreak/>
              <w:t>Lesson 2:</w:t>
            </w: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  <w:r>
              <w:rPr>
                <w:color w:val="008080"/>
                <w:sz w:val="20"/>
                <w:szCs w:val="20"/>
              </w:rPr>
              <w:t>Supplies: Text</w:t>
            </w: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BF51B5" w:rsidP="00D704B7">
            <w:pPr>
              <w:rPr>
                <w:color w:val="008080"/>
                <w:sz w:val="20"/>
                <w:szCs w:val="20"/>
              </w:rPr>
            </w:pPr>
            <w:r>
              <w:rPr>
                <w:color w:val="008080"/>
                <w:sz w:val="20"/>
                <w:szCs w:val="20"/>
              </w:rPr>
              <w:t>Supplies: Add a Flap</w:t>
            </w: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Default="00D704B7" w:rsidP="00D704B7">
            <w:pPr>
              <w:rPr>
                <w:color w:val="008080"/>
                <w:sz w:val="20"/>
                <w:szCs w:val="20"/>
              </w:rPr>
            </w:pPr>
          </w:p>
          <w:p w:rsidR="00BF51B5" w:rsidRDefault="00BF51B5" w:rsidP="00D704B7">
            <w:pPr>
              <w:rPr>
                <w:color w:val="008080"/>
                <w:sz w:val="20"/>
                <w:szCs w:val="20"/>
              </w:rPr>
            </w:pPr>
          </w:p>
          <w:p w:rsidR="00D704B7" w:rsidRPr="00FA0A1E" w:rsidRDefault="00D704B7" w:rsidP="00D704B7">
            <w:pPr>
              <w:rPr>
                <w:b/>
              </w:rPr>
            </w:pPr>
            <w:r>
              <w:rPr>
                <w:color w:val="008080"/>
                <w:sz w:val="20"/>
                <w:szCs w:val="20"/>
              </w:rPr>
              <w:t>Navigator Bar: Keep Find Projects</w:t>
            </w:r>
          </w:p>
        </w:tc>
        <w:tc>
          <w:tcPr>
            <w:tcW w:w="8331" w:type="dxa"/>
          </w:tcPr>
          <w:p w:rsidR="00D704B7" w:rsidRDefault="00D704B7" w:rsidP="00D704B7">
            <w:r>
              <w:t xml:space="preserve">Plan the finished puzzle: decide where the grid and maker button designs should be for easy use by players. </w:t>
            </w:r>
          </w:p>
          <w:p w:rsidR="00D704B7" w:rsidRDefault="00D704B7" w:rsidP="00D704B7"/>
          <w:p w:rsidR="00D704B7" w:rsidRDefault="00D704B7" w:rsidP="00D704B7">
            <w:r>
              <w:t xml:space="preserve">Use Text from Supplies and type a title and </w:t>
            </w:r>
            <w:r w:rsidR="00ED3028">
              <w:t xml:space="preserve">the </w:t>
            </w:r>
            <w:r>
              <w:t>rules.</w:t>
            </w:r>
          </w:p>
          <w:p w:rsidR="00D704B7" w:rsidRDefault="00D704B7" w:rsidP="00D704B7"/>
          <w:p w:rsidR="00D704B7" w:rsidRDefault="00BF51B5" w:rsidP="00D704B7">
            <w:r>
              <w:t>Add</w:t>
            </w:r>
            <w:r w:rsidR="00D704B7">
              <w:t xml:space="preserve"> a</w:t>
            </w:r>
            <w:r w:rsidR="00ED3028">
              <w:t xml:space="preserve"> flap for the rules and </w:t>
            </w:r>
            <w:r w:rsidR="00D704B7">
              <w:t xml:space="preserve">solutions. </w:t>
            </w:r>
          </w:p>
          <w:p w:rsidR="00D704B7" w:rsidRDefault="00D704B7" w:rsidP="00D704B7"/>
          <w:p w:rsidR="00D704B7" w:rsidRDefault="00D704B7" w:rsidP="00D704B7">
            <w:r>
              <w:t xml:space="preserve">When all the puzzle pieces and text are in their final locations. Open the Viewer for the grid, select the white menu and click: be locked. </w:t>
            </w:r>
            <w:r w:rsidR="00ED3028">
              <w:t xml:space="preserve"> This will keep the grid from reacting to the cursor.</w:t>
            </w:r>
          </w:p>
          <w:p w:rsidR="00D704B7" w:rsidRDefault="00D704B7" w:rsidP="00D704B7"/>
          <w:p w:rsidR="00D704B7" w:rsidRDefault="00D704B7" w:rsidP="00D704B7">
            <w:r>
              <w:t>Discuss the grid as an array of rows and columns. Ask stu</w:t>
            </w:r>
            <w:r w:rsidR="00821C07">
              <w:t>dents to make a row and then move</w:t>
            </w:r>
            <w:r>
              <w:t xml:space="preserve"> the same pieces to make a column. </w:t>
            </w:r>
            <w:r w:rsidR="00ED3028">
              <w:t xml:space="preserve">Ask student s to put a motif at row 2 column 3, etc. </w:t>
            </w:r>
          </w:p>
          <w:p w:rsidR="00D704B7" w:rsidRDefault="00D704B7" w:rsidP="00D704B7"/>
          <w:p w:rsidR="00D704B7" w:rsidRDefault="00BF51B5" w:rsidP="00D704B7">
            <w:r>
              <w:t>Hint: An easy way to remove all the S</w:t>
            </w:r>
            <w:r w:rsidR="00ED3028">
              <w:t xml:space="preserve">udoku pieces from the grid </w:t>
            </w:r>
            <w:r w:rsidR="00D704B7">
              <w:t xml:space="preserve">is </w:t>
            </w:r>
            <w:r w:rsidR="00ED3028">
              <w:t xml:space="preserve">to hold down shift key then </w:t>
            </w:r>
            <w:r w:rsidR="00D704B7">
              <w:t xml:space="preserve">click and drag a box around the objects to be discarded. </w:t>
            </w:r>
          </w:p>
          <w:p w:rsidR="00D704B7" w:rsidRDefault="00D704B7" w:rsidP="00D704B7"/>
          <w:p w:rsidR="00D704B7" w:rsidRDefault="007958E0" w:rsidP="00D704B7">
            <w:r>
              <w:t>Keep the project: NameSudokufinal e.g. Kate</w:t>
            </w:r>
            <w:r w:rsidR="00D704B7">
              <w:t>sudokufinal</w:t>
            </w:r>
          </w:p>
          <w:p w:rsidR="00D704B7" w:rsidRDefault="00D704B7" w:rsidP="00D704B7"/>
          <w:p w:rsidR="00D704B7" w:rsidRDefault="007958E0" w:rsidP="00D704B7">
            <w:r>
              <w:t>Give students time to enjoy</w:t>
            </w:r>
            <w:r w:rsidR="00D704B7">
              <w:t xml:space="preserve"> their puzzle and the ones their neighbors made.</w:t>
            </w:r>
          </w:p>
          <w:p w:rsidR="00BF51B5" w:rsidRDefault="00BF51B5" w:rsidP="00D704B7"/>
          <w:p w:rsidR="00D704B7" w:rsidRDefault="00ED3028" w:rsidP="00D704B7">
            <w:r>
              <w:t xml:space="preserve">Solutions could be collected </w:t>
            </w:r>
            <w:r w:rsidR="00D704B7">
              <w:t>in the flap as a reference. Ask students if incorrect solutions should be kept. Why? Why not?</w:t>
            </w:r>
          </w:p>
          <w:p w:rsidR="00D704B7" w:rsidRDefault="00D704B7" w:rsidP="00D704B7"/>
          <w:p w:rsidR="00D704B7" w:rsidRDefault="00D704B7" w:rsidP="00D704B7">
            <w:r>
              <w:t>An additional fl</w:t>
            </w:r>
            <w:r w:rsidR="00ED3028">
              <w:t xml:space="preserve">ap could </w:t>
            </w:r>
            <w:r>
              <w:t>store designs that are not Sudoku solutions but are patterns students want to keep.</w:t>
            </w:r>
          </w:p>
        </w:tc>
      </w:tr>
      <w:tr w:rsidR="00341979" w:rsidRPr="00012450" w:rsidTr="00F30ED4">
        <w:tc>
          <w:tcPr>
            <w:tcW w:w="1710" w:type="dxa"/>
          </w:tcPr>
          <w:p w:rsidR="00341979" w:rsidRPr="00FA0A1E" w:rsidRDefault="00341979" w:rsidP="00341979">
            <w:pPr>
              <w:rPr>
                <w:b/>
              </w:rPr>
            </w:pPr>
            <w:r>
              <w:rPr>
                <w:b/>
              </w:rPr>
              <w:t>Standards:</w:t>
            </w:r>
          </w:p>
        </w:tc>
        <w:tc>
          <w:tcPr>
            <w:tcW w:w="8331" w:type="dxa"/>
          </w:tcPr>
          <w:p w:rsidR="00F42302" w:rsidRDefault="00F42302" w:rsidP="00341979">
            <w:r>
              <w:t>Common Core Standards</w:t>
            </w:r>
          </w:p>
          <w:p w:rsidR="00F42302" w:rsidRPr="00D448AD" w:rsidRDefault="00F42302" w:rsidP="00F42302">
            <w:r>
              <w:t>Mathematics: 2.OA.3</w:t>
            </w:r>
          </w:p>
          <w:p w:rsidR="00341979" w:rsidRPr="0050168C" w:rsidRDefault="00341979" w:rsidP="00341979"/>
          <w:p w:rsidR="00341979" w:rsidRPr="0050168C" w:rsidRDefault="00341979" w:rsidP="00341979">
            <w:r w:rsidRPr="0050168C">
              <w:t>Bloom’s Taxonomy/Cognitive Domain:</w:t>
            </w:r>
          </w:p>
          <w:p w:rsidR="00341979" w:rsidRPr="0050168C" w:rsidRDefault="00F42302" w:rsidP="00341979">
            <w:r>
              <w:t xml:space="preserve">Knowledge: </w:t>
            </w:r>
            <w:r w:rsidR="00341979" w:rsidRPr="0050168C">
              <w:t>knows</w:t>
            </w:r>
          </w:p>
          <w:p w:rsidR="00F42302" w:rsidRDefault="00341979" w:rsidP="00F42302">
            <w:pPr>
              <w:rPr>
                <w:lang w:val="fr-FR"/>
              </w:rPr>
            </w:pPr>
            <w:r w:rsidRPr="00E075CD">
              <w:rPr>
                <w:lang w:val="fr-FR"/>
              </w:rPr>
              <w:lastRenderedPageBreak/>
              <w:t>Application:</w:t>
            </w:r>
            <w:r w:rsidR="00F42302">
              <w:rPr>
                <w:lang w:val="fr-FR"/>
              </w:rPr>
              <w:t xml:space="preserve"> </w:t>
            </w:r>
            <w:r w:rsidRPr="00E075CD">
              <w:rPr>
                <w:lang w:val="fr-FR"/>
              </w:rPr>
              <w:t>uses</w:t>
            </w:r>
          </w:p>
          <w:p w:rsidR="00ED3028" w:rsidRPr="00B57AD5" w:rsidRDefault="00ED3028" w:rsidP="00F42302">
            <w:pPr>
              <w:rPr>
                <w:lang w:val="fr-FR"/>
              </w:rPr>
            </w:pPr>
          </w:p>
          <w:p w:rsidR="00F42302" w:rsidRPr="00F42302" w:rsidRDefault="00F42302" w:rsidP="00F42302">
            <w:r w:rsidRPr="0050168C">
              <w:t xml:space="preserve">NETS </w:t>
            </w:r>
          </w:p>
          <w:p w:rsidR="00341979" w:rsidRDefault="00F42302" w:rsidP="00F42302">
            <w:r>
              <w:t>1. a, c</w:t>
            </w:r>
          </w:p>
        </w:tc>
      </w:tr>
      <w:tr w:rsidR="00341979" w:rsidRPr="00012450" w:rsidTr="00F30ED4">
        <w:tc>
          <w:tcPr>
            <w:tcW w:w="1710" w:type="dxa"/>
          </w:tcPr>
          <w:p w:rsidR="00341979" w:rsidRDefault="00341979" w:rsidP="00341979">
            <w:pPr>
              <w:rPr>
                <w:b/>
              </w:rPr>
            </w:pPr>
            <w:r>
              <w:rPr>
                <w:b/>
              </w:rPr>
              <w:lastRenderedPageBreak/>
              <w:t>Resources:</w:t>
            </w:r>
          </w:p>
        </w:tc>
        <w:tc>
          <w:tcPr>
            <w:tcW w:w="8331" w:type="dxa"/>
          </w:tcPr>
          <w:p w:rsidR="00F42302" w:rsidRDefault="00F42302" w:rsidP="00F42302">
            <w:r>
              <w:t>Etoys Help Quick Guides: always available in Etoys. Open Etoys and click the question mark to open a set of interactive tutorials of basic tools and techniques.</w:t>
            </w:r>
          </w:p>
          <w:p w:rsidR="00F42302" w:rsidRPr="00774F6A" w:rsidRDefault="007E7B1F" w:rsidP="00F42302">
            <w:hyperlink r:id="rId8" w:history="1">
              <w:r w:rsidR="00F42302" w:rsidRPr="0012409F">
                <w:rPr>
                  <w:rStyle w:val="Hyperlink"/>
                </w:rPr>
                <w:t>www.etoysillinois.org</w:t>
              </w:r>
            </w:hyperlink>
            <w:r w:rsidR="00F42302">
              <w:t xml:space="preserve">  projects, </w:t>
            </w:r>
            <w:r w:rsidR="00F42302" w:rsidRPr="00774F6A">
              <w:t>lesson plans</w:t>
            </w:r>
            <w:r w:rsidR="00F42302">
              <w:t>, software download</w:t>
            </w:r>
          </w:p>
          <w:p w:rsidR="00F42302" w:rsidRDefault="007E7B1F" w:rsidP="00F42302">
            <w:hyperlink r:id="rId9" w:history="1">
              <w:r w:rsidR="00F42302" w:rsidRPr="0012409F">
                <w:rPr>
                  <w:rStyle w:val="Hyperlink"/>
                </w:rPr>
                <w:t>www.mste.Illinois.org</w:t>
              </w:r>
            </w:hyperlink>
            <w:r w:rsidR="00F42302">
              <w:t xml:space="preserve"> more math, science, and technology resources</w:t>
            </w:r>
          </w:p>
          <w:p w:rsidR="00F42302" w:rsidRPr="00F30E17" w:rsidRDefault="007E7B1F" w:rsidP="00F42302">
            <w:hyperlink r:id="rId10" w:history="1">
              <w:r w:rsidR="00F42302" w:rsidRPr="0012409F">
                <w:rPr>
                  <w:rStyle w:val="Hyperlink"/>
                </w:rPr>
                <w:t>www.corestandards.org</w:t>
              </w:r>
            </w:hyperlink>
            <w:r w:rsidR="00F42302">
              <w:t xml:space="preserve"> Common Core Standards </w:t>
            </w:r>
            <w:r w:rsidR="00F42302">
              <w:tab/>
            </w:r>
          </w:p>
          <w:p w:rsidR="00F42302" w:rsidRPr="00B90392" w:rsidRDefault="007E7B1F" w:rsidP="00F42302">
            <w:hyperlink r:id="rId11" w:history="1">
              <w:r w:rsidR="00F42302" w:rsidRPr="0012409F">
                <w:rPr>
                  <w:rStyle w:val="Hyperlink"/>
                </w:rPr>
                <w:t>www.squeakland.org</w:t>
              </w:r>
            </w:hyperlink>
            <w:r w:rsidR="00F42302">
              <w:t xml:space="preserve"> software and Etoys projects </w:t>
            </w:r>
          </w:p>
          <w:p w:rsidR="00341979" w:rsidRPr="0050168C" w:rsidRDefault="007E7B1F" w:rsidP="00341979">
            <w:hyperlink r:id="rId12" w:history="1">
              <w:r w:rsidR="00F42302" w:rsidRPr="0012409F">
                <w:rPr>
                  <w:rStyle w:val="Hyperlink"/>
                </w:rPr>
                <w:t>www.nctm.org</w:t>
              </w:r>
            </w:hyperlink>
            <w:r w:rsidR="00F42302">
              <w:rPr>
                <w:b/>
              </w:rPr>
              <w:t xml:space="preserve"> </w:t>
            </w:r>
            <w:r w:rsidR="00F42302" w:rsidRPr="00B90392">
              <w:t>Standards and Focal Points</w:t>
            </w:r>
            <w:r w:rsidR="00F42302">
              <w:t xml:space="preserve"> for each </w:t>
            </w:r>
            <w:r w:rsidR="00F42302" w:rsidRPr="00B90392">
              <w:t xml:space="preserve">grade </w:t>
            </w:r>
            <w:r w:rsidR="00F42302">
              <w:t>level</w:t>
            </w:r>
          </w:p>
        </w:tc>
      </w:tr>
      <w:tr w:rsidR="00341979" w:rsidRPr="00012450" w:rsidTr="00F30ED4">
        <w:tc>
          <w:tcPr>
            <w:tcW w:w="1710" w:type="dxa"/>
          </w:tcPr>
          <w:p w:rsidR="00341979" w:rsidRPr="00F42302" w:rsidRDefault="00F42302" w:rsidP="00341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42302">
              <w:rPr>
                <w:sz w:val="20"/>
                <w:szCs w:val="20"/>
              </w:rPr>
              <w:t>h January 2011</w:t>
            </w:r>
          </w:p>
        </w:tc>
        <w:tc>
          <w:tcPr>
            <w:tcW w:w="8331" w:type="dxa"/>
          </w:tcPr>
          <w:p w:rsidR="00341979" w:rsidRDefault="00341979" w:rsidP="00341979"/>
        </w:tc>
      </w:tr>
    </w:tbl>
    <w:p w:rsidR="00341979" w:rsidRDefault="00341979"/>
    <w:p w:rsidR="00D453F3" w:rsidRDefault="00D453F3" w:rsidP="00D453F3"/>
    <w:p w:rsidR="00D453F3" w:rsidRDefault="00D453F3" w:rsidP="00D453F3">
      <w:r>
        <w:tab/>
      </w:r>
    </w:p>
    <w:p w:rsidR="00D453F3" w:rsidRDefault="00D453F3" w:rsidP="00D453F3">
      <w:r>
        <w:tab/>
      </w:r>
      <w:r>
        <w:tab/>
      </w:r>
    </w:p>
    <w:p w:rsidR="00D453F3" w:rsidRDefault="00D453F3" w:rsidP="00D453F3">
      <w:r>
        <w:tab/>
      </w:r>
      <w:r>
        <w:tab/>
      </w:r>
      <w:r>
        <w:tab/>
      </w:r>
    </w:p>
    <w:sectPr w:rsidR="00D453F3" w:rsidSect="00071E4C">
      <w:headerReference w:type="default" r:id="rId13"/>
      <w:footerReference w:type="even" r:id="rId14"/>
      <w:footerReference w:type="default" r:id="rId15"/>
      <w:pgSz w:w="12240" w:h="15840"/>
      <w:pgMar w:top="1728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15E" w:rsidRDefault="0039415E">
      <w:r>
        <w:separator/>
      </w:r>
    </w:p>
  </w:endnote>
  <w:endnote w:type="continuationSeparator" w:id="0">
    <w:p w:rsidR="0039415E" w:rsidRDefault="00394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B3" w:rsidRDefault="007E7B1F" w:rsidP="00F068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11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11B3" w:rsidRDefault="007711B3" w:rsidP="00C83A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B3" w:rsidRDefault="007E7B1F" w:rsidP="00F068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11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CF2">
      <w:rPr>
        <w:rStyle w:val="PageNumber"/>
        <w:noProof/>
      </w:rPr>
      <w:t>1</w:t>
    </w:r>
    <w:r>
      <w:rPr>
        <w:rStyle w:val="PageNumber"/>
      </w:rPr>
      <w:fldChar w:fldCharType="end"/>
    </w:r>
  </w:p>
  <w:p w:rsidR="007711B3" w:rsidRPr="00F766F4" w:rsidRDefault="007711B3" w:rsidP="00C83ACD">
    <w:pPr>
      <w:pStyle w:val="Header"/>
      <w:ind w:right="360"/>
      <w:jc w:val="center"/>
      <w:rPr>
        <w:sz w:val="20"/>
        <w:szCs w:val="20"/>
      </w:rPr>
    </w:pPr>
    <w:r w:rsidRPr="00011CA6">
      <w:rPr>
        <w:sz w:val="20"/>
        <w:szCs w:val="20"/>
      </w:rPr>
      <w:t>The Office for Mathematics, Sc</w:t>
    </w:r>
    <w:r>
      <w:rPr>
        <w:sz w:val="20"/>
        <w:szCs w:val="20"/>
      </w:rPr>
      <w:t>ience, and Technology Education</w:t>
    </w:r>
  </w:p>
  <w:p w:rsidR="007711B3" w:rsidRDefault="00E075CD" w:rsidP="00F766F4">
    <w:pPr>
      <w:pStyle w:val="Footer"/>
      <w:jc w:val="center"/>
    </w:pPr>
    <w:r>
      <w:rPr>
        <w:noProof/>
      </w:rPr>
      <w:drawing>
        <wp:inline distT="0" distB="0" distL="0" distR="0">
          <wp:extent cx="1600200" cy="266700"/>
          <wp:effectExtent l="19050" t="0" r="0" b="0"/>
          <wp:docPr id="3" name="Picture 3" descr="full_mark_horz_bo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ll_mark_horz_bol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15E" w:rsidRDefault="0039415E">
      <w:r>
        <w:separator/>
      </w:r>
    </w:p>
  </w:footnote>
  <w:footnote w:type="continuationSeparator" w:id="0">
    <w:p w:rsidR="0039415E" w:rsidRDefault="00394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B3" w:rsidRPr="00F766F4" w:rsidRDefault="007711B3" w:rsidP="00A87D06">
    <w:pPr>
      <w:pStyle w:val="Header"/>
      <w:jc w:val="center"/>
      <w:rPr>
        <w:sz w:val="20"/>
        <w:szCs w:val="20"/>
      </w:rPr>
    </w:pPr>
    <w:r w:rsidRPr="00F766F4">
      <w:rPr>
        <w:sz w:val="20"/>
        <w:szCs w:val="20"/>
      </w:rPr>
      <w:t>Etoys Computer Science for Kindergarten to Fifth Grade</w:t>
    </w:r>
  </w:p>
  <w:p w:rsidR="007711B3" w:rsidRPr="00F766F4" w:rsidRDefault="007711B3" w:rsidP="00A87D06">
    <w:pPr>
      <w:pStyle w:val="Header"/>
      <w:jc w:val="center"/>
      <w:rPr>
        <w:sz w:val="20"/>
        <w:szCs w:val="20"/>
      </w:rPr>
    </w:pPr>
    <w:r w:rsidRPr="00F766F4">
      <w:rPr>
        <w:sz w:val="20"/>
        <w:szCs w:val="20"/>
      </w:rPr>
      <w:t>Pathways to Programming</w:t>
    </w:r>
  </w:p>
  <w:p w:rsidR="007711B3" w:rsidRDefault="007711B3" w:rsidP="00A87D06">
    <w:pPr>
      <w:pStyle w:val="Header"/>
      <w:jc w:val="center"/>
      <w:rPr>
        <w:sz w:val="20"/>
        <w:szCs w:val="20"/>
      </w:rPr>
    </w:pPr>
    <w:r w:rsidRPr="00F766F4">
      <w:rPr>
        <w:sz w:val="20"/>
        <w:szCs w:val="20"/>
      </w:rPr>
      <w:t>EtoysCS4K5</w:t>
    </w:r>
  </w:p>
  <w:p w:rsidR="006F47CC" w:rsidRPr="00F766F4" w:rsidRDefault="007D5235" w:rsidP="00A87D06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www.EtoysIllinois.org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3F3"/>
    <w:rsid w:val="00071E4C"/>
    <w:rsid w:val="000D3CEF"/>
    <w:rsid w:val="00136275"/>
    <w:rsid w:val="001B15AE"/>
    <w:rsid w:val="001B2FB3"/>
    <w:rsid w:val="0022273D"/>
    <w:rsid w:val="002829A9"/>
    <w:rsid w:val="002B5F72"/>
    <w:rsid w:val="00341979"/>
    <w:rsid w:val="0039415E"/>
    <w:rsid w:val="003A1940"/>
    <w:rsid w:val="004277F9"/>
    <w:rsid w:val="0044391F"/>
    <w:rsid w:val="0050168C"/>
    <w:rsid w:val="00550419"/>
    <w:rsid w:val="00581E9F"/>
    <w:rsid w:val="00605B7A"/>
    <w:rsid w:val="0060648C"/>
    <w:rsid w:val="00625719"/>
    <w:rsid w:val="006F47CC"/>
    <w:rsid w:val="007711B3"/>
    <w:rsid w:val="00774F6A"/>
    <w:rsid w:val="007958E0"/>
    <w:rsid w:val="007C5B5D"/>
    <w:rsid w:val="007D5235"/>
    <w:rsid w:val="007E6367"/>
    <w:rsid w:val="007E7B1F"/>
    <w:rsid w:val="00821C07"/>
    <w:rsid w:val="00826068"/>
    <w:rsid w:val="00847E3C"/>
    <w:rsid w:val="008518F4"/>
    <w:rsid w:val="00884350"/>
    <w:rsid w:val="00926CC0"/>
    <w:rsid w:val="00931CF2"/>
    <w:rsid w:val="00993FA6"/>
    <w:rsid w:val="009D4A5B"/>
    <w:rsid w:val="009F1B97"/>
    <w:rsid w:val="00A45B62"/>
    <w:rsid w:val="00A87D06"/>
    <w:rsid w:val="00B022F4"/>
    <w:rsid w:val="00B25BD8"/>
    <w:rsid w:val="00B57AD5"/>
    <w:rsid w:val="00BF51B5"/>
    <w:rsid w:val="00C429B8"/>
    <w:rsid w:val="00C83ACD"/>
    <w:rsid w:val="00CF5378"/>
    <w:rsid w:val="00D30C06"/>
    <w:rsid w:val="00D453F3"/>
    <w:rsid w:val="00D5795F"/>
    <w:rsid w:val="00D704B7"/>
    <w:rsid w:val="00D8618F"/>
    <w:rsid w:val="00D926F6"/>
    <w:rsid w:val="00E075CD"/>
    <w:rsid w:val="00E11751"/>
    <w:rsid w:val="00E5072D"/>
    <w:rsid w:val="00EB1DBE"/>
    <w:rsid w:val="00ED3028"/>
    <w:rsid w:val="00EF3A15"/>
    <w:rsid w:val="00F068FC"/>
    <w:rsid w:val="00F133FD"/>
    <w:rsid w:val="00F30ED4"/>
    <w:rsid w:val="00F42302"/>
    <w:rsid w:val="00F63AEE"/>
    <w:rsid w:val="00F656D1"/>
    <w:rsid w:val="00F766F4"/>
    <w:rsid w:val="00FA0A1E"/>
    <w:rsid w:val="00FC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3F3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5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453F3"/>
    <w:rPr>
      <w:color w:val="0000FF"/>
      <w:u w:val="single"/>
    </w:rPr>
  </w:style>
  <w:style w:type="paragraph" w:styleId="NormalWeb">
    <w:name w:val="Normal (Web)"/>
    <w:basedOn w:val="Normal"/>
    <w:rsid w:val="00D453F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A87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7D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ACD"/>
  </w:style>
  <w:style w:type="paragraph" w:styleId="BalloonText">
    <w:name w:val="Balloon Text"/>
    <w:basedOn w:val="Normal"/>
    <w:link w:val="BalloonTextChar"/>
    <w:rsid w:val="00F42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2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oysillinois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ctm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queakland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corestandard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ste.Illinois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Unit 4 schools</Company>
  <LinksUpToDate>false</LinksUpToDate>
  <CharactersWithSpaces>3190</CharactersWithSpaces>
  <SharedDoc>false</SharedDoc>
  <HLinks>
    <vt:vector size="24" baseType="variant">
      <vt:variant>
        <vt:i4>3997730</vt:i4>
      </vt:variant>
      <vt:variant>
        <vt:i4>9</vt:i4>
      </vt:variant>
      <vt:variant>
        <vt:i4>0</vt:i4>
      </vt:variant>
      <vt:variant>
        <vt:i4>5</vt:i4>
      </vt:variant>
      <vt:variant>
        <vt:lpwstr>http://www.squeakland.org/</vt:lpwstr>
      </vt:variant>
      <vt:variant>
        <vt:lpwstr/>
      </vt:variant>
      <vt:variant>
        <vt:i4>4259918</vt:i4>
      </vt:variant>
      <vt:variant>
        <vt:i4>6</vt:i4>
      </vt:variant>
      <vt:variant>
        <vt:i4>0</vt:i4>
      </vt:variant>
      <vt:variant>
        <vt:i4>5</vt:i4>
      </vt:variant>
      <vt:variant>
        <vt:lpwstr>http://www.mste.org/</vt:lpwstr>
      </vt:variant>
      <vt:variant>
        <vt:lpwstr/>
      </vt:variant>
      <vt:variant>
        <vt:i4>4390915</vt:i4>
      </vt:variant>
      <vt:variant>
        <vt:i4>3</vt:i4>
      </vt:variant>
      <vt:variant>
        <vt:i4>0</vt:i4>
      </vt:variant>
      <vt:variant>
        <vt:i4>5</vt:i4>
      </vt:variant>
      <vt:variant>
        <vt:lpwstr>http://www.etoysillinois.org/</vt:lpwstr>
      </vt:variant>
      <vt:variant>
        <vt:lpwstr/>
      </vt:variant>
      <vt:variant>
        <vt:i4>8126528</vt:i4>
      </vt:variant>
      <vt:variant>
        <vt:i4>0</vt:i4>
      </vt:variant>
      <vt:variant>
        <vt:i4>0</vt:i4>
      </vt:variant>
      <vt:variant>
        <vt:i4>5</vt:i4>
      </vt:variant>
      <vt:variant>
        <vt:lpwstr>http://www.iste.org/Content/NavigationMenu/NETS/ForStudents/2007Standards/NETS_for_Students_2007.htm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kathleen harness</dc:creator>
  <cp:lastModifiedBy>kathleen</cp:lastModifiedBy>
  <cp:revision>8</cp:revision>
  <cp:lastPrinted>2011-01-19T12:44:00Z</cp:lastPrinted>
  <dcterms:created xsi:type="dcterms:W3CDTF">2011-01-17T17:20:00Z</dcterms:created>
  <dcterms:modified xsi:type="dcterms:W3CDTF">2011-01-19T12:52:00Z</dcterms:modified>
</cp:coreProperties>
</file>